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C0059" w14:textId="77777777" w:rsidR="001E1F6C" w:rsidRPr="001E1F6C" w:rsidRDefault="001E1F6C" w:rsidP="001E1F6C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</w:pPr>
      <w:r w:rsidRPr="001E1F6C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  <w:t>Reprise de la demande chinoise annoncée pour mars</w:t>
      </w:r>
    </w:p>
    <w:p w14:paraId="3FAB7A95" w14:textId="77777777" w:rsidR="001E1F6C" w:rsidRDefault="001E1F6C" w:rsidP="001E1F6C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</w:pPr>
    </w:p>
    <w:p w14:paraId="2E8BF9E6" w14:textId="68F5FB02" w:rsidR="001E1F6C" w:rsidRPr="001E1F6C" w:rsidRDefault="001E1F6C" w:rsidP="001E1F6C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1E1F6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Le cours du </w:t>
      </w:r>
      <w:r w:rsidRPr="001E1F6C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BE"/>
        </w:rPr>
        <w:t>cuivre</w:t>
      </w:r>
      <w:r w:rsidRPr="001E1F6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est en hausse ce jour. Investisseurs et courtiers parient sur une reprise de la demande en provenance de Chine alors que le secteur de la production minière rencontre diverses interruptions.</w:t>
      </w:r>
    </w:p>
    <w:p w14:paraId="4AFEC798" w14:textId="77777777" w:rsidR="001E1F6C" w:rsidRPr="001E1F6C" w:rsidRDefault="001E1F6C" w:rsidP="001E1F6C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1E1F6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Sur le LME, le </w:t>
      </w:r>
      <w:r w:rsidRPr="001E1F6C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BE"/>
        </w:rPr>
        <w:t>cuivre</w:t>
      </w:r>
      <w:r w:rsidRPr="001E1F6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 pour livraison à trois mois gagne 0,4 % à 9.020 $/t. Le contrat le plus échangé (échéance mars) sur le </w:t>
      </w:r>
      <w:proofErr w:type="spellStart"/>
      <w:r w:rsidRPr="001E1F6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ShFE</w:t>
      </w:r>
      <w:proofErr w:type="spellEnd"/>
      <w:r w:rsidRPr="001E1F6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 progresse de 0,2 % à 69.100 yuan/t (10,072.53 $).</w:t>
      </w:r>
    </w:p>
    <w:p w14:paraId="2B3BE04C" w14:textId="77777777" w:rsidR="001E1F6C" w:rsidRPr="001E1F6C" w:rsidRDefault="001E1F6C" w:rsidP="001E1F6C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1E1F6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Les cours des métaux progressent de concert avec les marchés boursiers de Chine et d’Hong Kong, où l’appétit pour le risque se réveille. « </w:t>
      </w:r>
      <w:r w:rsidRPr="001E1F6C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>Les signes d’une demande croissante redonnent de l’espoir</w:t>
      </w:r>
      <w:r w:rsidRPr="001E1F6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», selon des analystes d’ANZ. Cet espoir, c’est celui de voir l’économie passer d’un statut de simple réouverture à un statut de reprise franche.</w:t>
      </w:r>
    </w:p>
    <w:p w14:paraId="3318816D" w14:textId="77777777" w:rsidR="001E1F6C" w:rsidRPr="001E1F6C" w:rsidRDefault="001E1F6C" w:rsidP="001E1F6C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1E1F6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Dans les entrepôts agréés par le </w:t>
      </w:r>
      <w:proofErr w:type="spellStart"/>
      <w:r w:rsidRPr="001E1F6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ShFE</w:t>
      </w:r>
      <w:proofErr w:type="spellEnd"/>
      <w:r w:rsidRPr="001E1F6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, le rythme de croissance des stocks de </w:t>
      </w:r>
      <w:r w:rsidRPr="001E1F6C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BE"/>
        </w:rPr>
        <w:t>cuivre</w:t>
      </w:r>
      <w:r w:rsidRPr="001E1F6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ralentit. Le gain hebdomadaire estimé vendredi était le plus faible en deux mois. Selon les observateurs, la consommation chinoise de </w:t>
      </w:r>
      <w:r w:rsidRPr="001E1F6C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BE"/>
        </w:rPr>
        <w:t>cuivre</w:t>
      </w:r>
      <w:r w:rsidRPr="001E1F6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prendra son essor en mars. Les ventes de maisons neuves ont augmenté dans 16 villes chinoises pour la 3</w:t>
      </w:r>
      <w:r w:rsidRPr="001E1F6C">
        <w:rPr>
          <w:rFonts w:ascii="Lato" w:eastAsia="Times New Roman" w:hAnsi="Lato" w:cs="Times New Roman"/>
          <w:color w:val="000000"/>
          <w:sz w:val="23"/>
          <w:szCs w:val="23"/>
          <w:vertAlign w:val="superscript"/>
          <w:lang w:eastAsia="fr-BE"/>
        </w:rPr>
        <w:t>ème</w:t>
      </w:r>
      <w:r w:rsidRPr="001E1F6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semaine consécutive, d’après une étude privée. Les difficultés de production et d’exportation de </w:t>
      </w:r>
      <w:r w:rsidRPr="001E1F6C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BE"/>
        </w:rPr>
        <w:t>cuivre</w:t>
      </w:r>
      <w:r w:rsidRPr="001E1F6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au Pérou, en Indonésie et au Panama permettent au </w:t>
      </w:r>
      <w:r w:rsidRPr="001E1F6C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BE"/>
        </w:rPr>
        <w:t>cuivre</w:t>
      </w:r>
      <w:r w:rsidRPr="001E1F6C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de se maintenir.</w:t>
      </w:r>
    </w:p>
    <w:p w14:paraId="79336227" w14:textId="77777777" w:rsidR="008F2BF2" w:rsidRDefault="008F2BF2"/>
    <w:sectPr w:rsidR="008F2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6C"/>
    <w:rsid w:val="001E1F6C"/>
    <w:rsid w:val="008F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88F1"/>
  <w15:chartTrackingRefBased/>
  <w15:docId w15:val="{4D1154BB-ECA8-4519-813C-AE82360F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2023-02-20T08:53:00Z</dcterms:created>
  <dcterms:modified xsi:type="dcterms:W3CDTF">2023-02-20T08:54:00Z</dcterms:modified>
</cp:coreProperties>
</file>